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8 (Business Continuity and Disaster Recovery)</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26.0" w:type="dxa"/>
        <w:jc w:val="left"/>
        <w:tblInd w:w="1008.0" w:type="dxa"/>
        <w:tblLayout w:type="fixed"/>
        <w:tblLook w:val="0400"/>
      </w:tblPr>
      <w:tblGrid>
        <w:gridCol w:w="2040"/>
        <w:gridCol w:w="6086"/>
        <w:tblGridChange w:id="0">
          <w:tblGrid>
            <w:gridCol w:w="2040"/>
            <w:gridCol w:w="6086"/>
          </w:tblGrid>
        </w:tblGridChange>
      </w:tblGrid>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“Accounting Reference Date”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each year the date to which the Supplier prepares its annual audited financial statements;</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1.2 of this Schedule;</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p w:rsidR="00000000" w:rsidDel="00000000" w:rsidP="00000000" w:rsidRDefault="00000000" w:rsidRPr="00000000" w14:paraId="0000001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1.3.3 of this Schedule;</w:t>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5.3 of this Schedule; and</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2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5.3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p>
    <w:p w:rsidR="00000000" w:rsidDel="00000000" w:rsidP="00000000" w:rsidRDefault="00000000" w:rsidRPr="00000000" w14:paraId="0000002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1. BCDR Plan</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The Buyer and the Supplier recognise that, where specified in DPS Schedule 4 (DPS Management), CCS shall have the right to enforce the Buyer's rights under this Schedule.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1.2.1 ensure continuity of the business processes and operations supported by the Services following any failure or disruption of any element of the Deliverables; and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1.2.2 the recovery of the Deliverables in the event of a Disaster </w:t>
      </w:r>
    </w:p>
    <w:p w:rsidR="00000000" w:rsidDel="00000000" w:rsidP="00000000" w:rsidRDefault="00000000" w:rsidRPr="00000000" w14:paraId="0000002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The BCDR Plan shall be divided into four sections: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1.3.1 Section 1 which shall set out general principles applicable to the BCDR Plan;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1.3.2 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1.3.3Section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and</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1.3.4 Section 4 which shall relate to an Insolvency Event of the Supplier, and Key-Subcontractors and/or any Supplier Group member (the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“Insolvency Continuity Plan”</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4"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3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3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37">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3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3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3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an Insolvency Event of the Supplier, any Key Subcontractors and/or Supplier Group member;</w:t>
      </w:r>
    </w:p>
    <w:p w:rsidR="00000000" w:rsidDel="00000000" w:rsidP="00000000" w:rsidRDefault="00000000" w:rsidRPr="00000000" w14:paraId="0000003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w:t>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4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4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4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4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5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5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5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5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5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5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5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5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5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5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6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6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6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6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6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6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6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6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6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7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7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7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7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7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7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7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7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7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7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7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8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145" w:right="0" w:hanging="720"/>
        <w:jc w:val="both"/>
        <w:rPr>
          <w:rFonts w:ascii="Arial" w:cs="Arial" w:eastAsia="Arial" w:hAnsi="Arial"/>
          <w:b w:val="1"/>
          <w:i w:val="0"/>
          <w:smallCaps w:val="1"/>
          <w:strike w:val="0"/>
          <w:color w:val="000000"/>
          <w:sz w:val="22"/>
          <w:szCs w:val="22"/>
          <w:highlight w:val="yellow"/>
          <w:u w:val="none"/>
          <w:vertAlign w:val="baseline"/>
        </w:rPr>
      </w:pPr>
      <w:bookmarkStart w:colFirst="0" w:colLast="0" w:name="_heading=h.1ci93xb" w:id="23"/>
      <w:bookmarkEnd w:id="23"/>
      <w:r w:rsidDel="00000000" w:rsidR="00000000" w:rsidRPr="00000000">
        <w:rPr>
          <w:rFonts w:ascii="Arial Bold" w:cs="Arial Bold" w:eastAsia="Arial Bold" w:hAnsi="Arial Bold"/>
          <w:b w:val="1"/>
          <w:i w:val="0"/>
          <w:smallCaps w:val="1"/>
          <w:strike w:val="0"/>
          <w:color w:val="000000"/>
          <w:sz w:val="22"/>
          <w:szCs w:val="22"/>
          <w:highlight w:val="yellow"/>
          <w:u w:val="none"/>
          <w:vertAlign w:val="baseline"/>
          <w:rtl w:val="0"/>
        </w:rPr>
        <w:t xml:space="preserve">[</w:t>
      </w:r>
      <w:r w:rsidDel="00000000" w:rsidR="00000000" w:rsidRPr="00000000">
        <w:rPr>
          <w:rFonts w:ascii="Arial" w:cs="Arial" w:eastAsia="Arial" w:hAnsi="Arial"/>
          <w:b w:val="1"/>
          <w:i w:val="0"/>
          <w:smallCaps w:val="1"/>
          <w:strike w:val="0"/>
          <w:color w:val="000000"/>
          <w:sz w:val="22"/>
          <w:szCs w:val="22"/>
          <w:highlight w:val="yellow"/>
          <w:u w:val="none"/>
          <w:vertAlign w:val="baseline"/>
          <w:rtl w:val="0"/>
        </w:rPr>
        <w:t xml:space="preserve">Insolvency Continuity Plan (Section 4)</w:t>
      </w:r>
    </w:p>
    <w:p w:rsidR="00000000" w:rsidDel="00000000" w:rsidP="00000000" w:rsidRDefault="00000000" w:rsidRPr="00000000" w14:paraId="0000008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Insolvency Continuity Plan shall include the following:</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plans to manage and mitigate identified risks;</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8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8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Paragraph 2.1.6(c) is amended with the addition of the words:</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 new paragraph 2.1.15:</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720"/>
        <w:jc w:val="left"/>
        <w:rPr>
          <w:color w:val="000000"/>
          <w:sz w:val="24"/>
          <w:szCs w:val="24"/>
          <w:highlight w:val="yellow"/>
        </w:rPr>
      </w:pPr>
      <w:r w:rsidDel="00000000" w:rsidR="00000000" w:rsidRPr="00000000">
        <w:rPr>
          <w:color w:val="000000"/>
          <w:sz w:val="24"/>
          <w:szCs w:val="24"/>
          <w:highlight w:val="yellow"/>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004" w:right="0" w:hanging="72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 new paragraph 7.2:</w:t>
      </w:r>
    </w:p>
    <w:p w:rsidR="00000000" w:rsidDel="00000000" w:rsidP="00000000" w:rsidRDefault="00000000" w:rsidRPr="00000000" w14:paraId="00000090">
      <w:pPr>
        <w:numPr>
          <w:ilvl w:val="1"/>
          <w:numId w:val="2"/>
        </w:numPr>
        <w:pBdr>
          <w:top w:space="0" w:sz="0" w:val="nil"/>
          <w:left w:space="0" w:sz="0" w:val="nil"/>
          <w:bottom w:space="0" w:sz="0" w:val="nil"/>
          <w:right w:space="0" w:sz="0" w:val="nil"/>
          <w:between w:space="0" w:sz="0" w:val="nil"/>
        </w:pBdr>
        <w:spacing w:after="0" w:before="120" w:lineRule="auto"/>
        <w:ind w:left="1080" w:hanging="360"/>
        <w:jc w:val="left"/>
        <w:rPr>
          <w:color w:val="000000"/>
          <w:sz w:val="24"/>
          <w:szCs w:val="24"/>
          <w:highlight w:val="yellow"/>
        </w:rPr>
      </w:pPr>
      <w:r w:rsidDel="00000000" w:rsidR="00000000" w:rsidRPr="00000000">
        <w:rPr>
          <w:color w:val="000000"/>
          <w:sz w:val="24"/>
          <w:szCs w:val="24"/>
          <w:highlight w:val="yellow"/>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9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9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95">
      <w:pPr>
        <w:ind w:left="0" w:firstLine="0"/>
        <w:rPr>
          <w:color w:val="000000"/>
          <w:sz w:val="24"/>
          <w:szCs w:val="24"/>
        </w:rPr>
      </w:pPr>
      <w:bookmarkStart w:colFirst="0" w:colLast="0" w:name="_heading=h.23ckvvd" w:id="24"/>
      <w:bookmarkEnd w:id="24"/>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09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Order Ref:</w:t>
    </w:r>
  </w:p>
  <w:p w:rsidR="00000000" w:rsidDel="00000000" w:rsidP="00000000" w:rsidRDefault="00000000" w:rsidRPr="00000000" w14:paraId="0000009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9A">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2">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1"/>
      <w:numFmt w:val="decimal"/>
      <w:lvlText w:val="%1."/>
      <w:lvlJc w:val="left"/>
      <w:pPr>
        <w:ind w:left="1145" w:hanging="720"/>
      </w:pPr>
      <w:rPr>
        <w:smallCaps w:val="0"/>
        <w:strike w:val="0"/>
        <w:color w:val="000000"/>
        <w:u w:val="none"/>
        <w:vertAlign w:val="baseline"/>
      </w:rPr>
    </w:lvl>
    <w:lvl w:ilvl="1">
      <w:start w:val="1"/>
      <w:numFmt w:val="decimal"/>
      <w:lvlText w:val="%1.%2"/>
      <w:lvlJc w:val="left"/>
      <w:pPr>
        <w:ind w:left="1004"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1145"/>
        <w:tab w:val="left" w:pos="0"/>
        <w:tab w:val="num" w:pos="72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100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720" w:hanging="72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C17458"/>
    <w:pPr>
      <w:ind w:left="720"/>
      <w:contextualSpacing w:val="1"/>
    </w:pPr>
    <w:rPr>
      <w:lang w:eastAsia="en-GB"/>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Tn32IgkJvsRf3NXpmtfwasPay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yM2NrdnZkOAByITFxeE1SNVA4YXFUSUFOWG92NDQxX3VoajJ6SU00Qk5J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2023-11-01T10:53:00Z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